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B2D29">
      <w:pPr>
        <w:rPr>
          <w:rFonts w:ascii="Arial" w:hAnsi="Arial" w:eastAsia="Calibri" w:cs="Arial"/>
          <w:b/>
          <w:color w:val="000000"/>
          <w:sz w:val="24"/>
          <w:szCs w:val="24"/>
        </w:rPr>
      </w:pPr>
      <w:bookmarkStart w:id="0" w:name="_Hlk105063611"/>
      <w:r>
        <w:rPr>
          <w:rFonts w:ascii="Arial" w:hAnsi="Arial" w:eastAsia="Calibri" w:cs="Arial"/>
          <w:b/>
          <w:color w:val="000000"/>
          <w:sz w:val="24"/>
          <w:szCs w:val="24"/>
        </w:rPr>
        <w:t>Príloha č.1</w:t>
      </w:r>
    </w:p>
    <w:p w14:paraId="2C5A31A4">
      <w:pPr>
        <w:jc w:val="center"/>
        <w:rPr>
          <w:rFonts w:ascii="Arial" w:hAnsi="Arial" w:eastAsia="Calibri" w:cs="Arial"/>
          <w:b/>
          <w:color w:val="000000"/>
          <w:sz w:val="32"/>
          <w:szCs w:val="32"/>
        </w:rPr>
      </w:pPr>
    </w:p>
    <w:p w14:paraId="55CAA814">
      <w:pPr>
        <w:jc w:val="center"/>
        <w:rPr>
          <w:rFonts w:ascii="Arial" w:hAnsi="Arial" w:eastAsia="Calibri" w:cs="Arial"/>
          <w:b/>
          <w:color w:val="000000"/>
          <w:sz w:val="32"/>
          <w:szCs w:val="32"/>
        </w:rPr>
      </w:pPr>
      <w:r>
        <w:rPr>
          <w:rFonts w:ascii="Arial" w:hAnsi="Arial" w:eastAsia="Calibri" w:cs="Arial"/>
          <w:b/>
          <w:color w:val="000000"/>
          <w:sz w:val="32"/>
          <w:szCs w:val="32"/>
        </w:rPr>
        <w:t>Vyhodnotenie plnenia kritérií</w:t>
      </w:r>
    </w:p>
    <w:p w14:paraId="22D3DB91">
      <w:pPr>
        <w:rPr>
          <w:rFonts w:ascii="Arial" w:hAnsi="Arial" w:eastAsia="Calibri" w:cs="Arial"/>
          <w:b/>
          <w:color w:val="000000"/>
          <w:sz w:val="24"/>
          <w:szCs w:val="24"/>
        </w:rPr>
      </w:pPr>
    </w:p>
    <w:p w14:paraId="3AF83FFF">
      <w:pPr>
        <w:rPr>
          <w:rFonts w:ascii="Arial" w:hAnsi="Arial" w:eastAsia="Calibri" w:cs="Arial"/>
          <w:color w:val="000000"/>
          <w:sz w:val="24"/>
          <w:szCs w:val="24"/>
        </w:rPr>
      </w:pPr>
      <w:r>
        <w:rPr>
          <w:rFonts w:ascii="Arial" w:hAnsi="Arial" w:eastAsia="Calibri" w:cs="Arial"/>
          <w:b/>
          <w:color w:val="000000"/>
          <w:sz w:val="24"/>
          <w:szCs w:val="24"/>
        </w:rPr>
        <w:t>Titul, meno a priezvisko</w:t>
      </w:r>
      <w:r>
        <w:rPr>
          <w:rFonts w:ascii="Arial" w:hAnsi="Arial" w:eastAsia="Calibri" w:cs="Arial"/>
          <w:color w:val="000000"/>
          <w:sz w:val="24"/>
          <w:szCs w:val="24"/>
        </w:rPr>
        <w:t xml:space="preserve">: </w:t>
      </w:r>
    </w:p>
    <w:p w14:paraId="750248C1">
      <w:pPr>
        <w:rPr>
          <w:rFonts w:ascii="Arial" w:hAnsi="Arial" w:eastAsia="Calibri" w:cs="Arial"/>
          <w:color w:val="000000"/>
          <w:sz w:val="24"/>
          <w:szCs w:val="24"/>
        </w:rPr>
      </w:pPr>
      <w:r>
        <w:rPr>
          <w:rFonts w:ascii="Arial" w:hAnsi="Arial" w:eastAsia="Calibri" w:cs="Arial"/>
          <w:b/>
          <w:color w:val="000000"/>
          <w:sz w:val="24"/>
          <w:szCs w:val="24"/>
        </w:rPr>
        <w:t>Email</w:t>
      </w:r>
      <w:r>
        <w:rPr>
          <w:rFonts w:ascii="Arial" w:hAnsi="Arial" w:eastAsia="Calibri" w:cs="Arial"/>
          <w:color w:val="000000"/>
          <w:sz w:val="24"/>
          <w:szCs w:val="24"/>
        </w:rPr>
        <w:t>:</w:t>
      </w:r>
    </w:p>
    <w:p w14:paraId="7D16AE9E">
      <w:pPr>
        <w:rPr>
          <w:rFonts w:ascii="Arial" w:hAnsi="Arial" w:eastAsia="Calibri" w:cs="Arial"/>
          <w:color w:val="000000"/>
          <w:sz w:val="24"/>
          <w:szCs w:val="24"/>
        </w:rPr>
      </w:pPr>
      <w:r>
        <w:rPr>
          <w:rFonts w:ascii="Arial" w:hAnsi="Arial" w:eastAsia="Calibri" w:cs="Arial"/>
          <w:b/>
          <w:color w:val="000000"/>
          <w:sz w:val="24"/>
          <w:szCs w:val="24"/>
        </w:rPr>
        <w:t>Telefónne číslo</w:t>
      </w:r>
      <w:r>
        <w:rPr>
          <w:rFonts w:ascii="Arial" w:hAnsi="Arial" w:eastAsia="Calibri" w:cs="Arial"/>
          <w:color w:val="000000"/>
          <w:sz w:val="24"/>
          <w:szCs w:val="24"/>
        </w:rPr>
        <w:t>:</w:t>
      </w:r>
    </w:p>
    <w:p w14:paraId="5D62CB1D">
      <w:pPr>
        <w:rPr>
          <w:rFonts w:ascii="Arial" w:hAnsi="Arial" w:eastAsia="Calibri" w:cs="Arial"/>
          <w:color w:val="000000"/>
          <w:sz w:val="24"/>
          <w:szCs w:val="24"/>
        </w:rPr>
      </w:pPr>
      <w:r>
        <w:rPr>
          <w:rFonts w:ascii="Arial" w:hAnsi="Arial" w:eastAsia="Calibri" w:cs="Arial"/>
          <w:b/>
          <w:color w:val="000000"/>
          <w:sz w:val="24"/>
          <w:szCs w:val="24"/>
        </w:rPr>
        <w:t>Dátum zaradenia</w:t>
      </w:r>
      <w:r>
        <w:rPr>
          <w:rFonts w:ascii="Arial" w:hAnsi="Arial" w:eastAsia="Calibri" w:cs="Arial"/>
          <w:color w:val="000000"/>
          <w:sz w:val="24"/>
          <w:szCs w:val="24"/>
        </w:rPr>
        <w:t>:</w:t>
      </w:r>
    </w:p>
    <w:p w14:paraId="13A9A547">
      <w:pPr>
        <w:rPr>
          <w:rFonts w:ascii="Arial" w:hAnsi="Arial" w:eastAsia="Calibri" w:cs="Arial"/>
          <w:color w:val="000000"/>
          <w:sz w:val="24"/>
          <w:szCs w:val="24"/>
        </w:rPr>
      </w:pPr>
    </w:p>
    <w:p w14:paraId="2D68E74F">
      <w:pPr>
        <w:rPr>
          <w:rFonts w:ascii="Arial" w:hAnsi="Arial" w:eastAsia="Calibri" w:cs="Arial"/>
          <w:color w:val="000000"/>
          <w:sz w:val="24"/>
          <w:szCs w:val="24"/>
        </w:rPr>
      </w:pPr>
      <w:r>
        <w:rPr>
          <w:rFonts w:ascii="Arial" w:hAnsi="Arial" w:eastAsia="Calibri" w:cs="Arial"/>
          <w:b/>
          <w:color w:val="000000"/>
          <w:sz w:val="24"/>
          <w:szCs w:val="24"/>
        </w:rPr>
        <w:t>Dĺžka odbornej praxe</w:t>
      </w:r>
      <w:r>
        <w:rPr>
          <w:rFonts w:ascii="Arial" w:hAnsi="Arial" w:eastAsia="Calibri" w:cs="Arial"/>
          <w:color w:val="000000"/>
          <w:sz w:val="24"/>
          <w:szCs w:val="24"/>
        </w:rPr>
        <w:t xml:space="preserve"> (od dátumu zaradenia ku dňu podania žiadosti): </w:t>
      </w:r>
    </w:p>
    <w:p w14:paraId="3EEF119E">
      <w:pPr>
        <w:rPr>
          <w:rFonts w:ascii="Arial" w:hAnsi="Arial" w:eastAsia="Calibri" w:cs="Arial"/>
          <w:color w:val="000000"/>
          <w:sz w:val="24"/>
          <w:szCs w:val="24"/>
        </w:rPr>
      </w:pPr>
      <w:r>
        <w:rPr>
          <w:rFonts w:ascii="Arial" w:hAnsi="Arial" w:eastAsia="Calibri" w:cs="Arial"/>
          <w:b/>
          <w:color w:val="000000"/>
          <w:sz w:val="24"/>
          <w:szCs w:val="24"/>
        </w:rPr>
        <w:t>Prerušenie štúdia</w:t>
      </w:r>
      <w:r>
        <w:rPr>
          <w:rFonts w:ascii="Arial" w:hAnsi="Arial" w:eastAsia="Calibri" w:cs="Arial"/>
          <w:color w:val="000000"/>
          <w:sz w:val="24"/>
          <w:szCs w:val="24"/>
        </w:rPr>
        <w:t xml:space="preserve">: </w:t>
      </w:r>
    </w:p>
    <w:p w14:paraId="750B162F">
      <w:pPr>
        <w:rPr>
          <w:rFonts w:ascii="Arial" w:hAnsi="Arial" w:eastAsia="Calibri" w:cs="Arial"/>
          <w:color w:val="000000"/>
          <w:sz w:val="24"/>
          <w:szCs w:val="24"/>
        </w:rPr>
      </w:pPr>
    </w:p>
    <w:p w14:paraId="665746D2">
      <w:pPr>
        <w:rPr>
          <w:rFonts w:ascii="Arial" w:hAnsi="Arial" w:eastAsia="Calibri" w:cs="Arial"/>
          <w:color w:val="000000"/>
          <w:sz w:val="24"/>
          <w:szCs w:val="24"/>
        </w:rPr>
      </w:pPr>
      <w:r>
        <w:rPr>
          <w:rFonts w:ascii="Arial" w:hAnsi="Arial" w:eastAsia="Calibri" w:cs="Arial"/>
          <w:b/>
          <w:color w:val="000000"/>
          <w:sz w:val="24"/>
          <w:szCs w:val="24"/>
        </w:rPr>
        <w:t>Absolvované vzdelávacie aktivity</w:t>
      </w:r>
      <w:r>
        <w:rPr>
          <w:rFonts w:ascii="Arial" w:hAnsi="Arial" w:eastAsia="Calibri" w:cs="Arial"/>
          <w:color w:val="000000"/>
          <w:sz w:val="24"/>
          <w:szCs w:val="24"/>
        </w:rPr>
        <w:t>:</w:t>
      </w:r>
    </w:p>
    <w:p w14:paraId="6CC49DC5">
      <w:pPr>
        <w:rPr>
          <w:rFonts w:ascii="Arial" w:hAnsi="Arial" w:eastAsia="Calibri" w:cs="Arial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Calibri" w:cs="Arial"/>
          <w:color w:val="000000"/>
          <w:sz w:val="24"/>
          <w:szCs w:val="24"/>
        </w:rPr>
        <w:t xml:space="preserve">Špecializačný kurz I. :  </w:t>
      </w:r>
      <w:r>
        <w:rPr>
          <w:rFonts w:ascii="Arial" w:hAnsi="Arial" w:eastAsia="Calibri" w:cs="Arial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uviesť dátum</w:t>
      </w:r>
    </w:p>
    <w:p w14:paraId="5BF40D21">
      <w:pPr>
        <w:rPr>
          <w:rFonts w:ascii="Arial" w:hAnsi="Arial" w:eastAsia="Calibri" w:cs="Arial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Calibri" w:cs="Arial"/>
          <w:color w:val="000000"/>
          <w:sz w:val="24"/>
          <w:szCs w:val="24"/>
        </w:rPr>
        <w:t xml:space="preserve">Špecializačný kurz II. : </w:t>
      </w:r>
      <w:r>
        <w:rPr>
          <w:rFonts w:ascii="Arial" w:hAnsi="Arial" w:eastAsia="Calibri" w:cs="Arial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uviesť dátum</w:t>
      </w:r>
    </w:p>
    <w:p w14:paraId="54AA5FDD">
      <w:pPr>
        <w:rPr>
          <w:rFonts w:ascii="Arial" w:hAnsi="Arial" w:eastAsia="Calibri" w:cs="Arial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Calibri" w:cs="Arial"/>
          <w:color w:val="000000"/>
          <w:sz w:val="24"/>
          <w:szCs w:val="24"/>
        </w:rPr>
        <w:t xml:space="preserve">Špecializačný kurz III. : </w:t>
      </w:r>
      <w:r>
        <w:rPr>
          <w:rFonts w:ascii="Arial" w:hAnsi="Arial" w:eastAsia="Calibri" w:cs="Arial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uviesť dátum</w:t>
      </w:r>
    </w:p>
    <w:p w14:paraId="676F3084">
      <w:pPr>
        <w:rPr>
          <w:rFonts w:ascii="Arial" w:hAnsi="Arial" w:eastAsia="Calibri" w:cs="Arial"/>
          <w:color w:val="000000"/>
          <w:sz w:val="24"/>
          <w:szCs w:val="24"/>
        </w:rPr>
      </w:pPr>
      <w:r>
        <w:rPr>
          <w:rFonts w:ascii="Arial" w:hAnsi="Arial" w:eastAsia="Calibri" w:cs="Arial"/>
          <w:color w:val="000000"/>
          <w:sz w:val="24"/>
          <w:szCs w:val="24"/>
        </w:rPr>
        <w:t>Špecializačný kurz IV.</w:t>
      </w:r>
      <w:r>
        <w:t xml:space="preserve">  : </w:t>
      </w:r>
      <w:r>
        <w:rPr>
          <w:rFonts w:ascii="Arial" w:hAnsi="Arial" w:eastAsia="Calibri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uviesť dátum</w:t>
      </w:r>
    </w:p>
    <w:p w14:paraId="13DE1A52">
      <w:pPr>
        <w:rPr>
          <w:rFonts w:ascii="Arial" w:hAnsi="Arial" w:eastAsia="Calibri" w:cs="Arial"/>
          <w:color w:val="000000"/>
          <w:sz w:val="24"/>
          <w:szCs w:val="24"/>
        </w:rPr>
      </w:pPr>
      <w:r>
        <w:rPr>
          <w:rFonts w:ascii="Arial" w:hAnsi="Arial" w:eastAsia="Calibri" w:cs="Arial"/>
          <w:color w:val="000000"/>
          <w:sz w:val="24"/>
          <w:szCs w:val="24"/>
        </w:rPr>
        <w:t xml:space="preserve">Sústredenie pred špecializačnou skúškou : </w:t>
      </w:r>
      <w:r>
        <w:rPr>
          <w:rFonts w:ascii="Arial" w:hAnsi="Arial" w:eastAsia="Calibri" w:cs="Arial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uviesť dátum</w:t>
      </w:r>
    </w:p>
    <w:p w14:paraId="126D876B">
      <w:pPr>
        <w:rPr>
          <w:rFonts w:ascii="Arial" w:hAnsi="Arial" w:eastAsia="Calibri" w:cs="Arial"/>
          <w:color w:val="000000"/>
          <w:sz w:val="24"/>
          <w:szCs w:val="24"/>
        </w:rPr>
      </w:pPr>
    </w:p>
    <w:p w14:paraId="15F386B5">
      <w:pPr>
        <w:rPr>
          <w:rFonts w:ascii="Arial" w:hAnsi="Arial" w:eastAsia="Calibri" w:cs="Arial"/>
          <w:color w:val="000000"/>
          <w:sz w:val="24"/>
          <w:szCs w:val="24"/>
        </w:rPr>
      </w:pPr>
    </w:p>
    <w:p w14:paraId="03AD0CD4">
      <w:pPr>
        <w:rPr>
          <w:rFonts w:ascii="Arial" w:hAnsi="Arial" w:eastAsia="Calibri" w:cs="Arial"/>
          <w:color w:val="000000"/>
          <w:sz w:val="24"/>
          <w:szCs w:val="24"/>
        </w:rPr>
      </w:pPr>
    </w:p>
    <w:p w14:paraId="6035130E">
      <w:pPr>
        <w:rPr>
          <w:rFonts w:ascii="Arial" w:hAnsi="Arial" w:eastAsia="Calibri" w:cs="Arial"/>
          <w:color w:val="000000"/>
          <w:sz w:val="24"/>
          <w:szCs w:val="24"/>
        </w:rPr>
      </w:pPr>
    </w:p>
    <w:p w14:paraId="7196F936">
      <w:pPr>
        <w:rPr>
          <w:rFonts w:ascii="Arial" w:hAnsi="Arial" w:eastAsia="Calibri" w:cs="Arial"/>
          <w:color w:val="000000"/>
          <w:sz w:val="24"/>
          <w:szCs w:val="24"/>
        </w:rPr>
      </w:pPr>
    </w:p>
    <w:p w14:paraId="73E65A5A">
      <w:pPr>
        <w:rPr>
          <w:rFonts w:ascii="Arial" w:hAnsi="Arial" w:eastAsia="Calibri" w:cs="Arial"/>
          <w:color w:val="000000"/>
          <w:sz w:val="24"/>
          <w:szCs w:val="24"/>
        </w:rPr>
      </w:pPr>
    </w:p>
    <w:p w14:paraId="0F9C7746">
      <w:pPr>
        <w:rPr>
          <w:rFonts w:ascii="Arial" w:hAnsi="Arial" w:eastAsia="Calibri" w:cs="Arial"/>
          <w:color w:val="000000"/>
          <w:sz w:val="24"/>
          <w:szCs w:val="24"/>
        </w:rPr>
      </w:pPr>
    </w:p>
    <w:p w14:paraId="27686A25">
      <w:pPr>
        <w:rPr>
          <w:rFonts w:ascii="Arial" w:hAnsi="Arial" w:eastAsia="Calibri" w:cs="Arial"/>
          <w:color w:val="000000"/>
          <w:sz w:val="24"/>
          <w:szCs w:val="24"/>
        </w:rPr>
      </w:pPr>
    </w:p>
    <w:p w14:paraId="125B0789">
      <w:pPr>
        <w:rPr>
          <w:rFonts w:ascii="Arial" w:hAnsi="Arial" w:eastAsia="Calibri" w:cs="Arial"/>
          <w:color w:val="000000"/>
          <w:sz w:val="24"/>
          <w:szCs w:val="24"/>
        </w:rPr>
      </w:pPr>
    </w:p>
    <w:p w14:paraId="595043C6">
      <w:pPr>
        <w:rPr>
          <w:rFonts w:ascii="Arial" w:hAnsi="Arial" w:eastAsia="Calibri" w:cs="Arial"/>
          <w:color w:val="000000"/>
          <w:sz w:val="24"/>
          <w:szCs w:val="24"/>
        </w:rPr>
      </w:pPr>
    </w:p>
    <w:p w14:paraId="4AD44CBB">
      <w:pPr>
        <w:rPr>
          <w:rFonts w:ascii="Arial" w:hAnsi="Arial" w:eastAsia="Calibri" w:cs="Arial"/>
          <w:color w:val="000000"/>
          <w:sz w:val="24"/>
          <w:szCs w:val="24"/>
        </w:rPr>
      </w:pPr>
    </w:p>
    <w:p w14:paraId="7E44FD67">
      <w:pPr>
        <w:rPr>
          <w:rFonts w:ascii="Arial" w:hAnsi="Arial" w:eastAsia="Calibri" w:cs="Arial"/>
          <w:color w:val="000000"/>
          <w:sz w:val="24"/>
          <w:szCs w:val="24"/>
        </w:rPr>
      </w:pPr>
    </w:p>
    <w:tbl>
      <w:tblPr>
        <w:tblStyle w:val="4"/>
        <w:tblpPr w:leftFromText="180" w:rightFromText="180" w:vertAnchor="text" w:horzAnchor="page" w:tblpX="720" w:tblpY="446"/>
        <w:tblOverlap w:val="never"/>
        <w:tblW w:w="10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9"/>
        <w:gridCol w:w="4060"/>
        <w:gridCol w:w="1179"/>
        <w:gridCol w:w="1310"/>
        <w:gridCol w:w="1310"/>
      </w:tblGrid>
      <w:tr w14:paraId="6BC9E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2489" w:type="dxa"/>
          </w:tcPr>
          <w:p w14:paraId="6CFC9AE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Výkon</w:t>
            </w:r>
          </w:p>
          <w:p w14:paraId="0D3622BE">
            <w:pPr>
              <w:rPr>
                <w:sz w:val="18"/>
                <w:szCs w:val="18"/>
              </w:rPr>
            </w:pPr>
          </w:p>
        </w:tc>
        <w:tc>
          <w:tcPr>
            <w:tcW w:w="4060" w:type="dxa"/>
          </w:tcPr>
          <w:p w14:paraId="6874D51B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</w:tcPr>
          <w:p w14:paraId="13CB8C7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Požadovaný minimálny počet</w:t>
            </w:r>
          </w:p>
          <w:p w14:paraId="2E84525C">
            <w:pPr>
              <w:rPr>
                <w:i/>
                <w:sz w:val="18"/>
                <w:szCs w:val="18"/>
              </w:rPr>
            </w:pPr>
          </w:p>
        </w:tc>
        <w:tc>
          <w:tcPr>
            <w:tcW w:w="1310" w:type="dxa"/>
          </w:tcPr>
          <w:p w14:paraId="41A4EA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Počet realizovaných výkonov </w:t>
            </w:r>
          </w:p>
          <w:p w14:paraId="5E85819C">
            <w:pPr>
              <w:rPr>
                <w:sz w:val="18"/>
                <w:szCs w:val="18"/>
              </w:rPr>
            </w:pPr>
          </w:p>
        </w:tc>
        <w:tc>
          <w:tcPr>
            <w:tcW w:w="1310" w:type="dxa"/>
          </w:tcPr>
          <w:p w14:paraId="115E580E">
            <w:pPr>
              <w:rPr>
                <w:rFonts w:hint="default"/>
                <w:b/>
                <w:bCs/>
                <w:i w:val="0"/>
                <w:iCs/>
                <w:sz w:val="18"/>
                <w:szCs w:val="18"/>
                <w:lang w:val="sk-SK"/>
              </w:rPr>
            </w:pPr>
            <w:bookmarkStart w:id="1" w:name="_GoBack"/>
            <w:r>
              <w:rPr>
                <w:rFonts w:hint="default"/>
                <w:b/>
                <w:bCs/>
                <w:i w:val="0"/>
                <w:iCs/>
                <w:sz w:val="18"/>
                <w:szCs w:val="18"/>
                <w:lang w:val="sk-SK"/>
              </w:rPr>
              <w:t xml:space="preserve">Školiace miesto </w:t>
            </w:r>
          </w:p>
          <w:bookmarkEnd w:id="1"/>
          <w:p w14:paraId="758D7925">
            <w:pPr>
              <w:rPr>
                <w:rFonts w:hint="default"/>
                <w:i w:val="0"/>
                <w:iCs/>
                <w:sz w:val="18"/>
                <w:szCs w:val="18"/>
                <w:lang w:val="sk-SK"/>
              </w:rPr>
            </w:pPr>
            <w:r>
              <w:rPr>
                <w:rFonts w:hint="default"/>
                <w:b/>
                <w:bCs/>
                <w:i w:val="0"/>
                <w:iCs/>
                <w:sz w:val="18"/>
                <w:szCs w:val="18"/>
                <w:lang w:val="sk-SK"/>
              </w:rPr>
              <w:t>(uviesť dátum)</w:t>
            </w:r>
          </w:p>
        </w:tc>
      </w:tr>
      <w:tr w14:paraId="378C7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6549" w:type="dxa"/>
            <w:gridSpan w:val="2"/>
          </w:tcPr>
          <w:p w14:paraId="5B17E575">
            <w:pPr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zabezpečovanie (logistika) liečiv, pomocných látok a liekov, dietetických potravín a zdravotníckych pomôcok, ich správne uchovávanie</w:t>
            </w:r>
          </w:p>
        </w:tc>
        <w:tc>
          <w:tcPr>
            <w:tcW w:w="1179" w:type="dxa"/>
          </w:tcPr>
          <w:p w14:paraId="24C8C3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310" w:type="dxa"/>
          </w:tcPr>
          <w:p w14:paraId="7EC50624">
            <w:pPr>
              <w:rPr>
                <w:sz w:val="18"/>
                <w:szCs w:val="18"/>
              </w:rPr>
            </w:pPr>
          </w:p>
        </w:tc>
        <w:tc>
          <w:tcPr>
            <w:tcW w:w="1310" w:type="dxa"/>
          </w:tcPr>
          <w:p w14:paraId="272E43D3">
            <w:pPr>
              <w:rPr>
                <w:sz w:val="18"/>
                <w:szCs w:val="18"/>
              </w:rPr>
            </w:pPr>
          </w:p>
        </w:tc>
      </w:tr>
      <w:tr w14:paraId="68F61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6549" w:type="dxa"/>
            <w:gridSpan w:val="2"/>
          </w:tcPr>
          <w:p w14:paraId="407DC96A">
            <w:pPr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výdaj liekov, zdravotníckych pomôcok a dietetických potravín pacientom a verejnosti alebo výdaj liekov a zdravotníckych pomôcok oddeleniam/klinikám zdravotníckych zariadení ústavnej zdravotnej starostlivosti</w:t>
            </w:r>
          </w:p>
        </w:tc>
        <w:tc>
          <w:tcPr>
            <w:tcW w:w="1179" w:type="dxa"/>
          </w:tcPr>
          <w:p w14:paraId="221D8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2400</w:t>
            </w:r>
          </w:p>
        </w:tc>
        <w:tc>
          <w:tcPr>
            <w:tcW w:w="1310" w:type="dxa"/>
          </w:tcPr>
          <w:p w14:paraId="32894FC6">
            <w:pPr>
              <w:rPr>
                <w:sz w:val="18"/>
                <w:szCs w:val="18"/>
              </w:rPr>
            </w:pPr>
          </w:p>
        </w:tc>
        <w:tc>
          <w:tcPr>
            <w:tcW w:w="1310" w:type="dxa"/>
          </w:tcPr>
          <w:p w14:paraId="1D7DECF1">
            <w:pPr>
              <w:rPr>
                <w:sz w:val="18"/>
                <w:szCs w:val="18"/>
              </w:rPr>
            </w:pPr>
          </w:p>
        </w:tc>
      </w:tr>
      <w:tr w14:paraId="60508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6549" w:type="dxa"/>
            <w:gridSpan w:val="2"/>
          </w:tcPr>
          <w:p w14:paraId="1AE9979A">
            <w:pPr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podávanie potrebných informácií a rád pacientom so zvláštnym zreteľom na oblasť samoliečenia, komunikácia s pacientom, podávanie informácií a konzultácií o liekoch, zdravotníckych pomôckach a dietetických potravinách lekárom a ostatným zdravotníckym pracovníkom</w:t>
            </w:r>
          </w:p>
        </w:tc>
        <w:tc>
          <w:tcPr>
            <w:tcW w:w="1179" w:type="dxa"/>
          </w:tcPr>
          <w:p w14:paraId="553B0D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310" w:type="dxa"/>
          </w:tcPr>
          <w:p w14:paraId="31C3F585">
            <w:pPr>
              <w:rPr>
                <w:sz w:val="18"/>
                <w:szCs w:val="18"/>
              </w:rPr>
            </w:pPr>
          </w:p>
        </w:tc>
        <w:tc>
          <w:tcPr>
            <w:tcW w:w="1310" w:type="dxa"/>
          </w:tcPr>
          <w:p w14:paraId="7105E6D6">
            <w:pPr>
              <w:rPr>
                <w:sz w:val="18"/>
                <w:szCs w:val="18"/>
              </w:rPr>
            </w:pPr>
          </w:p>
        </w:tc>
      </w:tr>
      <w:tr w14:paraId="20610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6549" w:type="dxa"/>
            <w:gridSpan w:val="2"/>
          </w:tcPr>
          <w:p w14:paraId="3350A78B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zabezpečenie a vykonávanie kontroly dodržiavania hygienického režimu </w:t>
            </w:r>
          </w:p>
        </w:tc>
        <w:tc>
          <w:tcPr>
            <w:tcW w:w="1179" w:type="dxa"/>
          </w:tcPr>
          <w:p w14:paraId="656667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310" w:type="dxa"/>
          </w:tcPr>
          <w:p w14:paraId="79E2F019">
            <w:pPr>
              <w:rPr>
                <w:sz w:val="18"/>
                <w:szCs w:val="18"/>
              </w:rPr>
            </w:pPr>
          </w:p>
        </w:tc>
        <w:tc>
          <w:tcPr>
            <w:tcW w:w="1310" w:type="dxa"/>
          </w:tcPr>
          <w:p w14:paraId="42583753">
            <w:pPr>
              <w:rPr>
                <w:sz w:val="18"/>
                <w:szCs w:val="18"/>
              </w:rPr>
            </w:pPr>
          </w:p>
        </w:tc>
      </w:tr>
      <w:tr w14:paraId="5744B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489" w:type="dxa"/>
          </w:tcPr>
          <w:p w14:paraId="13B40E1F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Riešenie liekových problémov pacienta</w:t>
            </w:r>
          </w:p>
        </w:tc>
        <w:tc>
          <w:tcPr>
            <w:tcW w:w="4060" w:type="dxa"/>
          </w:tcPr>
          <w:p w14:paraId="2CF1DEF1">
            <w:pPr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podrobne dokumentované riešenie liekových problémov pacienta</w:t>
            </w:r>
          </w:p>
        </w:tc>
        <w:tc>
          <w:tcPr>
            <w:tcW w:w="1179" w:type="dxa"/>
          </w:tcPr>
          <w:p w14:paraId="13FCBF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310" w:type="dxa"/>
          </w:tcPr>
          <w:p w14:paraId="32EAF050">
            <w:pPr>
              <w:rPr>
                <w:sz w:val="18"/>
                <w:szCs w:val="18"/>
              </w:rPr>
            </w:pPr>
          </w:p>
        </w:tc>
        <w:tc>
          <w:tcPr>
            <w:tcW w:w="1310" w:type="dxa"/>
          </w:tcPr>
          <w:p w14:paraId="3A442DB8">
            <w:pPr>
              <w:rPr>
                <w:sz w:val="18"/>
                <w:szCs w:val="18"/>
              </w:rPr>
            </w:pPr>
          </w:p>
        </w:tc>
      </w:tr>
      <w:tr w14:paraId="2D1E4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489" w:type="dxa"/>
            <w:vMerge w:val="restart"/>
          </w:tcPr>
          <w:p w14:paraId="7D59FB55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Vykonávanie fyzikálnych a biochemických vyšetrení</w:t>
            </w:r>
          </w:p>
        </w:tc>
        <w:tc>
          <w:tcPr>
            <w:tcW w:w="4060" w:type="dxa"/>
          </w:tcPr>
          <w:p w14:paraId="3A5E7B53">
            <w:pPr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krvný tlak</w:t>
            </w:r>
          </w:p>
        </w:tc>
        <w:tc>
          <w:tcPr>
            <w:tcW w:w="1179" w:type="dxa"/>
          </w:tcPr>
          <w:p w14:paraId="7CFBDE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310" w:type="dxa"/>
          </w:tcPr>
          <w:p w14:paraId="2A81801F">
            <w:pPr>
              <w:rPr>
                <w:sz w:val="18"/>
                <w:szCs w:val="18"/>
              </w:rPr>
            </w:pPr>
          </w:p>
        </w:tc>
        <w:tc>
          <w:tcPr>
            <w:tcW w:w="1310" w:type="dxa"/>
          </w:tcPr>
          <w:p w14:paraId="3DF9289B">
            <w:pPr>
              <w:rPr>
                <w:sz w:val="18"/>
                <w:szCs w:val="18"/>
              </w:rPr>
            </w:pPr>
          </w:p>
        </w:tc>
      </w:tr>
      <w:tr w14:paraId="0F241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489" w:type="dxa"/>
            <w:vMerge w:val="continue"/>
          </w:tcPr>
          <w:p w14:paraId="1EDFF41D">
            <w:pPr>
              <w:rPr>
                <w:sz w:val="18"/>
                <w:szCs w:val="18"/>
              </w:rPr>
            </w:pPr>
          </w:p>
        </w:tc>
        <w:tc>
          <w:tcPr>
            <w:tcW w:w="4060" w:type="dxa"/>
          </w:tcPr>
          <w:p w14:paraId="069E4E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glykémia</w:t>
            </w:r>
          </w:p>
        </w:tc>
        <w:tc>
          <w:tcPr>
            <w:tcW w:w="1179" w:type="dxa"/>
          </w:tcPr>
          <w:p w14:paraId="47D661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310" w:type="dxa"/>
          </w:tcPr>
          <w:p w14:paraId="4A47F952">
            <w:pPr>
              <w:rPr>
                <w:sz w:val="18"/>
                <w:szCs w:val="18"/>
              </w:rPr>
            </w:pPr>
          </w:p>
        </w:tc>
        <w:tc>
          <w:tcPr>
            <w:tcW w:w="1310" w:type="dxa"/>
          </w:tcPr>
          <w:p w14:paraId="3FBC8999">
            <w:pPr>
              <w:rPr>
                <w:sz w:val="18"/>
                <w:szCs w:val="18"/>
              </w:rPr>
            </w:pPr>
          </w:p>
        </w:tc>
      </w:tr>
      <w:tr w14:paraId="40727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489" w:type="dxa"/>
            <w:vMerge w:val="continue"/>
          </w:tcPr>
          <w:p w14:paraId="064023C8">
            <w:pPr>
              <w:rPr>
                <w:sz w:val="18"/>
                <w:szCs w:val="18"/>
              </w:rPr>
            </w:pPr>
          </w:p>
        </w:tc>
        <w:tc>
          <w:tcPr>
            <w:tcW w:w="4060" w:type="dxa"/>
          </w:tcPr>
          <w:p w14:paraId="6CFE47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cholesterol</w:t>
            </w:r>
          </w:p>
        </w:tc>
        <w:tc>
          <w:tcPr>
            <w:tcW w:w="1179" w:type="dxa"/>
          </w:tcPr>
          <w:p w14:paraId="7EF648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310" w:type="dxa"/>
          </w:tcPr>
          <w:p w14:paraId="70D1092D">
            <w:pPr>
              <w:rPr>
                <w:sz w:val="18"/>
                <w:szCs w:val="18"/>
              </w:rPr>
            </w:pPr>
          </w:p>
        </w:tc>
        <w:tc>
          <w:tcPr>
            <w:tcW w:w="1310" w:type="dxa"/>
          </w:tcPr>
          <w:p w14:paraId="3B007440">
            <w:pPr>
              <w:rPr>
                <w:sz w:val="18"/>
                <w:szCs w:val="18"/>
              </w:rPr>
            </w:pPr>
          </w:p>
        </w:tc>
      </w:tr>
      <w:tr w14:paraId="71A54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489" w:type="dxa"/>
            <w:vMerge w:val="continue"/>
          </w:tcPr>
          <w:p w14:paraId="3C14451A">
            <w:pPr>
              <w:rPr>
                <w:sz w:val="18"/>
                <w:szCs w:val="18"/>
              </w:rPr>
            </w:pPr>
          </w:p>
        </w:tc>
        <w:tc>
          <w:tcPr>
            <w:tcW w:w="4060" w:type="dxa"/>
          </w:tcPr>
          <w:p w14:paraId="3A73DF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fyzikálne a biochemické vyšetrenia</w:t>
            </w:r>
          </w:p>
        </w:tc>
        <w:tc>
          <w:tcPr>
            <w:tcW w:w="1179" w:type="dxa"/>
          </w:tcPr>
          <w:p w14:paraId="0C31C6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310" w:type="dxa"/>
          </w:tcPr>
          <w:p w14:paraId="28BB4B9E">
            <w:pPr>
              <w:rPr>
                <w:sz w:val="18"/>
                <w:szCs w:val="18"/>
              </w:rPr>
            </w:pPr>
          </w:p>
        </w:tc>
        <w:tc>
          <w:tcPr>
            <w:tcW w:w="1310" w:type="dxa"/>
          </w:tcPr>
          <w:p w14:paraId="0BB59A9B">
            <w:pPr>
              <w:rPr>
                <w:sz w:val="18"/>
                <w:szCs w:val="18"/>
              </w:rPr>
            </w:pPr>
          </w:p>
        </w:tc>
      </w:tr>
      <w:tr w14:paraId="1F47E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489" w:type="dxa"/>
            <w:vMerge w:val="restart"/>
          </w:tcPr>
          <w:p w14:paraId="345B2FD0">
            <w:pPr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Individuálna a hromadná príprava liekov najmenej týchto aplikačných foriem</w:t>
            </w:r>
          </w:p>
        </w:tc>
        <w:tc>
          <w:tcPr>
            <w:tcW w:w="4060" w:type="dxa"/>
          </w:tcPr>
          <w:p w14:paraId="4FD39A50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kapsuly a prášky</w:t>
            </w:r>
          </w:p>
        </w:tc>
        <w:tc>
          <w:tcPr>
            <w:tcW w:w="1179" w:type="dxa"/>
          </w:tcPr>
          <w:p w14:paraId="335597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310" w:type="dxa"/>
          </w:tcPr>
          <w:p w14:paraId="3421CBFB">
            <w:pPr>
              <w:rPr>
                <w:sz w:val="18"/>
                <w:szCs w:val="18"/>
              </w:rPr>
            </w:pPr>
          </w:p>
        </w:tc>
        <w:tc>
          <w:tcPr>
            <w:tcW w:w="1310" w:type="dxa"/>
          </w:tcPr>
          <w:p w14:paraId="5C6069F9">
            <w:pPr>
              <w:rPr>
                <w:sz w:val="18"/>
                <w:szCs w:val="18"/>
              </w:rPr>
            </w:pPr>
          </w:p>
        </w:tc>
      </w:tr>
      <w:tr w14:paraId="5B5CE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489" w:type="dxa"/>
            <w:vMerge w:val="continue"/>
          </w:tcPr>
          <w:p w14:paraId="4410896A">
            <w:pPr>
              <w:rPr>
                <w:sz w:val="18"/>
                <w:szCs w:val="18"/>
              </w:rPr>
            </w:pPr>
          </w:p>
        </w:tc>
        <w:tc>
          <w:tcPr>
            <w:tcW w:w="4060" w:type="dxa"/>
          </w:tcPr>
          <w:p w14:paraId="2A4D1260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perorálne kvapalné lieky (kvapky, roztoky, sirupy, emulzie, suspenzie)</w:t>
            </w:r>
          </w:p>
        </w:tc>
        <w:tc>
          <w:tcPr>
            <w:tcW w:w="1179" w:type="dxa"/>
          </w:tcPr>
          <w:p w14:paraId="12239E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310" w:type="dxa"/>
          </w:tcPr>
          <w:p w14:paraId="47A3CE1C">
            <w:pPr>
              <w:rPr>
                <w:sz w:val="18"/>
                <w:szCs w:val="18"/>
              </w:rPr>
            </w:pPr>
          </w:p>
        </w:tc>
        <w:tc>
          <w:tcPr>
            <w:tcW w:w="1310" w:type="dxa"/>
          </w:tcPr>
          <w:p w14:paraId="67A19CEC">
            <w:pPr>
              <w:rPr>
                <w:sz w:val="18"/>
                <w:szCs w:val="18"/>
              </w:rPr>
            </w:pPr>
          </w:p>
        </w:tc>
      </w:tr>
      <w:tr w14:paraId="31929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489" w:type="dxa"/>
            <w:vMerge w:val="continue"/>
          </w:tcPr>
          <w:p w14:paraId="3C935501">
            <w:pPr>
              <w:rPr>
                <w:sz w:val="18"/>
                <w:szCs w:val="18"/>
              </w:rPr>
            </w:pPr>
          </w:p>
        </w:tc>
        <w:tc>
          <w:tcPr>
            <w:tcW w:w="4060" w:type="dxa"/>
          </w:tcPr>
          <w:p w14:paraId="25FD0240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dermálne kvapalné lieky (roztoky, emulzie, suspenzie)</w:t>
            </w:r>
          </w:p>
        </w:tc>
        <w:tc>
          <w:tcPr>
            <w:tcW w:w="1179" w:type="dxa"/>
          </w:tcPr>
          <w:p w14:paraId="009367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10" w:type="dxa"/>
          </w:tcPr>
          <w:p w14:paraId="0CB51BF2">
            <w:pPr>
              <w:rPr>
                <w:sz w:val="18"/>
                <w:szCs w:val="18"/>
              </w:rPr>
            </w:pPr>
          </w:p>
        </w:tc>
        <w:tc>
          <w:tcPr>
            <w:tcW w:w="1310" w:type="dxa"/>
          </w:tcPr>
          <w:p w14:paraId="6141F4D0">
            <w:pPr>
              <w:rPr>
                <w:sz w:val="18"/>
                <w:szCs w:val="18"/>
              </w:rPr>
            </w:pPr>
          </w:p>
        </w:tc>
      </w:tr>
      <w:tr w14:paraId="3A04E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489" w:type="dxa"/>
            <w:vMerge w:val="continue"/>
          </w:tcPr>
          <w:p w14:paraId="211397D2">
            <w:pPr>
              <w:rPr>
                <w:sz w:val="18"/>
                <w:szCs w:val="18"/>
              </w:rPr>
            </w:pPr>
          </w:p>
        </w:tc>
        <w:tc>
          <w:tcPr>
            <w:tcW w:w="4060" w:type="dxa"/>
          </w:tcPr>
          <w:p w14:paraId="41E3F3C3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dermálne polotuhé lieky (masti, krémy, pasty, gély)</w:t>
            </w:r>
          </w:p>
        </w:tc>
        <w:tc>
          <w:tcPr>
            <w:tcW w:w="1179" w:type="dxa"/>
          </w:tcPr>
          <w:p w14:paraId="406123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310" w:type="dxa"/>
          </w:tcPr>
          <w:p w14:paraId="797CA171">
            <w:pPr>
              <w:rPr>
                <w:sz w:val="18"/>
                <w:szCs w:val="18"/>
              </w:rPr>
            </w:pPr>
          </w:p>
        </w:tc>
        <w:tc>
          <w:tcPr>
            <w:tcW w:w="1310" w:type="dxa"/>
          </w:tcPr>
          <w:p w14:paraId="194C89F8">
            <w:pPr>
              <w:rPr>
                <w:sz w:val="18"/>
                <w:szCs w:val="18"/>
              </w:rPr>
            </w:pPr>
          </w:p>
        </w:tc>
      </w:tr>
      <w:tr w14:paraId="620B2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489" w:type="dxa"/>
            <w:vMerge w:val="continue"/>
          </w:tcPr>
          <w:p w14:paraId="345118B8">
            <w:pPr>
              <w:rPr>
                <w:sz w:val="18"/>
                <w:szCs w:val="18"/>
              </w:rPr>
            </w:pPr>
          </w:p>
        </w:tc>
        <w:tc>
          <w:tcPr>
            <w:tcW w:w="4060" w:type="dxa"/>
          </w:tcPr>
          <w:p w14:paraId="1D9FE442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rektálne a vaginálne lieky (čapíky, gulôčky, masti, roztoky)</w:t>
            </w:r>
          </w:p>
        </w:tc>
        <w:tc>
          <w:tcPr>
            <w:tcW w:w="1179" w:type="dxa"/>
          </w:tcPr>
          <w:p w14:paraId="22D4E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310" w:type="dxa"/>
          </w:tcPr>
          <w:p w14:paraId="3F19F7E7">
            <w:pPr>
              <w:rPr>
                <w:sz w:val="18"/>
                <w:szCs w:val="18"/>
              </w:rPr>
            </w:pPr>
          </w:p>
        </w:tc>
        <w:tc>
          <w:tcPr>
            <w:tcW w:w="1310" w:type="dxa"/>
          </w:tcPr>
          <w:p w14:paraId="3F2D1A48">
            <w:pPr>
              <w:rPr>
                <w:sz w:val="18"/>
                <w:szCs w:val="18"/>
              </w:rPr>
            </w:pPr>
          </w:p>
        </w:tc>
      </w:tr>
      <w:tr w14:paraId="45908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</w:trPr>
        <w:tc>
          <w:tcPr>
            <w:tcW w:w="2489" w:type="dxa"/>
            <w:vMerge w:val="restart"/>
          </w:tcPr>
          <w:p w14:paraId="2D12392E">
            <w:pPr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Kontrola liečiv a pomocných látok a hodnotenie kvality liekov pripravených v lekárni</w:t>
            </w:r>
          </w:p>
        </w:tc>
        <w:tc>
          <w:tcPr>
            <w:tcW w:w="4060" w:type="dxa"/>
          </w:tcPr>
          <w:p w14:paraId="7B13E45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skúšky totožnosti liečiv a pomocných látok a základné chemické, fyzikálno-chemické a fyzikálne metódy používané pri hodnotení kvality liekov</w:t>
            </w:r>
            <w:r>
              <w:rPr>
                <w:rFonts w:eastAsia="Times New Roman"/>
                <w:sz w:val="18"/>
                <w:szCs w:val="18"/>
              </w:rPr>
              <w:br w:type="textWrapping"/>
            </w:r>
            <w:r>
              <w:rPr>
                <w:rFonts w:eastAsia="Times New Roman"/>
                <w:sz w:val="18"/>
                <w:szCs w:val="18"/>
              </w:rPr>
              <w:t>pripravených v lekárni (chemické reakcie, organoleptické skúšky, teplota topenia, hustota, vodivosť, stanovenie pH, optická otáčavosť, index lomu)</w:t>
            </w:r>
          </w:p>
        </w:tc>
        <w:tc>
          <w:tcPr>
            <w:tcW w:w="1179" w:type="dxa"/>
          </w:tcPr>
          <w:p w14:paraId="1DCCC426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40</w:t>
            </w:r>
          </w:p>
        </w:tc>
        <w:tc>
          <w:tcPr>
            <w:tcW w:w="1310" w:type="dxa"/>
          </w:tcPr>
          <w:p w14:paraId="02A06CFD">
            <w:pPr>
              <w:rPr>
                <w:sz w:val="18"/>
                <w:szCs w:val="18"/>
              </w:rPr>
            </w:pPr>
          </w:p>
        </w:tc>
        <w:tc>
          <w:tcPr>
            <w:tcW w:w="1310" w:type="dxa"/>
          </w:tcPr>
          <w:p w14:paraId="06945DA7">
            <w:pPr>
              <w:rPr>
                <w:sz w:val="18"/>
                <w:szCs w:val="18"/>
              </w:rPr>
            </w:pPr>
          </w:p>
        </w:tc>
      </w:tr>
      <w:tr w14:paraId="6C368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489" w:type="dxa"/>
            <w:vMerge w:val="continue"/>
          </w:tcPr>
          <w:p w14:paraId="679CCE97">
            <w:pPr>
              <w:rPr>
                <w:sz w:val="18"/>
                <w:szCs w:val="18"/>
              </w:rPr>
            </w:pPr>
          </w:p>
        </w:tc>
        <w:tc>
          <w:tcPr>
            <w:tcW w:w="4060" w:type="dxa"/>
          </w:tcPr>
          <w:p w14:paraId="2E95F9AB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vedenie predpisovej a záznamovej dokumentácie</w:t>
            </w:r>
          </w:p>
        </w:tc>
        <w:tc>
          <w:tcPr>
            <w:tcW w:w="1179" w:type="dxa"/>
          </w:tcPr>
          <w:p w14:paraId="332B9E40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30</w:t>
            </w:r>
          </w:p>
        </w:tc>
        <w:tc>
          <w:tcPr>
            <w:tcW w:w="1310" w:type="dxa"/>
          </w:tcPr>
          <w:p w14:paraId="38235902">
            <w:pPr>
              <w:rPr>
                <w:sz w:val="18"/>
                <w:szCs w:val="18"/>
              </w:rPr>
            </w:pPr>
          </w:p>
        </w:tc>
        <w:tc>
          <w:tcPr>
            <w:tcW w:w="1310" w:type="dxa"/>
          </w:tcPr>
          <w:p w14:paraId="66785F3B">
            <w:pPr>
              <w:rPr>
                <w:sz w:val="18"/>
                <w:szCs w:val="18"/>
              </w:rPr>
            </w:pPr>
          </w:p>
        </w:tc>
      </w:tr>
      <w:tr w14:paraId="01969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489" w:type="dxa"/>
            <w:vMerge w:val="continue"/>
          </w:tcPr>
          <w:p w14:paraId="65666A03">
            <w:pPr>
              <w:rPr>
                <w:sz w:val="18"/>
                <w:szCs w:val="18"/>
              </w:rPr>
            </w:pPr>
          </w:p>
        </w:tc>
        <w:tc>
          <w:tcPr>
            <w:tcW w:w="4060" w:type="dxa"/>
          </w:tcPr>
          <w:p w14:paraId="0A44BE6F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príprava diagnostických zdravotníckych pomôcok in vitro a činidiel </w:t>
            </w:r>
          </w:p>
        </w:tc>
        <w:tc>
          <w:tcPr>
            <w:tcW w:w="1179" w:type="dxa"/>
          </w:tcPr>
          <w:p w14:paraId="08D9EC87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1310" w:type="dxa"/>
          </w:tcPr>
          <w:p w14:paraId="45373C87">
            <w:pPr>
              <w:rPr>
                <w:sz w:val="18"/>
                <w:szCs w:val="18"/>
              </w:rPr>
            </w:pPr>
          </w:p>
        </w:tc>
        <w:tc>
          <w:tcPr>
            <w:tcW w:w="1310" w:type="dxa"/>
          </w:tcPr>
          <w:p w14:paraId="7DA9D7AB">
            <w:pPr>
              <w:rPr>
                <w:sz w:val="18"/>
                <w:szCs w:val="18"/>
              </w:rPr>
            </w:pPr>
          </w:p>
        </w:tc>
      </w:tr>
    </w:tbl>
    <w:p w14:paraId="4DB14CCA">
      <w:pPr>
        <w:rPr>
          <w:rFonts w:hint="default" w:ascii="Arial" w:hAnsi="Arial" w:eastAsia="Calibri" w:cs="Arial"/>
          <w:b/>
          <w:bCs/>
          <w:i/>
          <w:color w:val="000000" w:themeColor="text1"/>
          <w:sz w:val="24"/>
          <w:szCs w:val="24"/>
          <w:lang w:val="sk-SK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Calibri" w:cs="Arial"/>
          <w:b/>
          <w:bCs/>
          <w:color w:val="000000"/>
          <w:sz w:val="18"/>
          <w:szCs w:val="18"/>
        </w:rPr>
        <w:t xml:space="preserve">Absolvované odborné výkony: </w:t>
      </w:r>
      <w:r>
        <w:rPr>
          <w:rFonts w:ascii="Arial" w:hAnsi="Arial" w:eastAsia="Calibri" w:cs="Arial"/>
          <w:b/>
          <w:bCs/>
          <w:i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uviesť počty podľa záznamníka zdravotných výkonov + školiace miesta</w:t>
      </w:r>
      <w:r>
        <w:rPr>
          <w:rFonts w:hint="default" w:ascii="Arial" w:hAnsi="Arial" w:eastAsia="Calibri" w:cs="Arial"/>
          <w:b/>
          <w:bCs/>
          <w:i/>
          <w:color w:val="000000" w:themeColor="text1"/>
          <w:sz w:val="18"/>
          <w:szCs w:val="18"/>
          <w:lang w:val="sk-SK"/>
          <w14:textFill>
            <w14:solidFill>
              <w14:schemeClr w14:val="tx1"/>
            </w14:solidFill>
          </w14:textFill>
        </w:rPr>
        <w:t xml:space="preserve"> </w:t>
      </w:r>
    </w:p>
    <w:p w14:paraId="2EC84A3E">
      <w:pPr>
        <w:rPr>
          <w:rFonts w:hint="default" w:ascii="Arial" w:hAnsi="Arial" w:eastAsia="Calibri" w:cs="Arial"/>
          <w:b/>
          <w:bCs/>
          <w:color w:val="000000"/>
          <w:sz w:val="24"/>
          <w:szCs w:val="24"/>
          <w:lang w:val="sk-SK"/>
        </w:rPr>
      </w:pPr>
    </w:p>
    <w:p w14:paraId="6883A99B">
      <w:pPr>
        <w:rPr>
          <w:rFonts w:hint="default"/>
          <w:lang w:val="sk-SK"/>
        </w:rPr>
      </w:pPr>
      <w:r>
        <w:rPr>
          <w:rFonts w:hint="default" w:ascii="Arial" w:hAnsi="Arial" w:eastAsia="Calibri" w:cs="Arial"/>
          <w:b w:val="0"/>
          <w:bCs w:val="0"/>
          <w:color w:val="000000"/>
          <w:sz w:val="24"/>
          <w:szCs w:val="24"/>
          <w:lang w:val="sk-SK"/>
        </w:rPr>
        <w:t>Miesto, dátum</w:t>
      </w:r>
      <w:r>
        <w:rPr>
          <w:rFonts w:hint="default" w:ascii="Arial" w:hAnsi="Arial" w:eastAsia="Calibri" w:cs="Arial"/>
          <w:b/>
          <w:bCs/>
          <w:color w:val="000000"/>
          <w:sz w:val="24"/>
          <w:szCs w:val="24"/>
          <w:lang w:val="sk-SK"/>
        </w:rPr>
        <w:t xml:space="preserve">                                                                  </w:t>
      </w:r>
      <w:r>
        <w:rPr>
          <w:rFonts w:hint="default" w:ascii="Arial" w:hAnsi="Arial" w:eastAsia="Calibri" w:cs="Arial"/>
          <w:b w:val="0"/>
          <w:bCs w:val="0"/>
          <w:color w:val="000000"/>
          <w:sz w:val="24"/>
          <w:szCs w:val="24"/>
          <w:lang w:val="sk-SK"/>
        </w:rPr>
        <w:t xml:space="preserve">  Podpis študent</w:t>
      </w:r>
      <w:bookmarkEnd w:id="0"/>
      <w:r>
        <w:rPr>
          <w:rFonts w:hint="default" w:ascii="Arial" w:hAnsi="Arial" w:eastAsia="Calibri" w:cs="Arial"/>
          <w:b w:val="0"/>
          <w:bCs w:val="0"/>
          <w:color w:val="000000"/>
          <w:sz w:val="24"/>
          <w:szCs w:val="24"/>
          <w:lang w:val="sk-SK"/>
        </w:rPr>
        <w:t>a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BE6"/>
    <w:rsid w:val="00372F96"/>
    <w:rsid w:val="006E649C"/>
    <w:rsid w:val="008B29FF"/>
    <w:rsid w:val="00954486"/>
    <w:rsid w:val="009F6785"/>
    <w:rsid w:val="00D06BE6"/>
    <w:rsid w:val="00E56D78"/>
    <w:rsid w:val="37C16585"/>
    <w:rsid w:val="6E2D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304</Words>
  <Characters>2114</Characters>
  <Lines>17</Lines>
  <Paragraphs>4</Paragraphs>
  <TotalTime>3</TotalTime>
  <ScaleCrop>false</ScaleCrop>
  <LinksUpToDate>false</LinksUpToDate>
  <CharactersWithSpaces>2435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2022-05-30T09:44:00Z</dcterms:created>
  <dc:creator>Masarykova Lucia</dc:creator>
  <cp:lastModifiedBy>spravca</cp:lastModifiedBy>
  <dcterms:modified xsi:type="dcterms:W3CDTF">2026-07-30T09:35:40Z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eyJoZGlkIjoiMzk2Y2IzZjJjN2NjNTQ0MDYzOTZmZmVkNmYyYmJkODIiLCJ1c2VySWQiOiI5MzYzNzU5MDc3MDU3In0=</vt:lpwstr>
  </property>
  <property fmtid="{D5CDD505-2E9C-101B-9397-08002B2CF9AE}" pid="3" name="KSOProductBuildVer">
    <vt:lpwstr>1033-12.1.0.27458</vt:lpwstr>
  </property>
  <property fmtid="{D5CDD505-2E9C-101B-9397-08002B2CF9AE}" pid="4" name="ICV">
    <vt:lpwstr>9D20401038BD4691A30FC014EB8A4566_12</vt:lpwstr>
  </property>
</Properties>
</file>